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61" w:rsidRPr="001A1A61" w:rsidRDefault="001A1A61" w:rsidP="001A1A61">
      <w:pPr>
        <w:spacing w:line="240" w:lineRule="auto"/>
        <w:rPr>
          <w:rFonts w:ascii="Verdana" w:eastAsia="Times New Roman" w:hAnsi="Verdana" w:cs="Times New Roman"/>
          <w:sz w:val="18"/>
          <w:szCs w:val="18"/>
        </w:rPr>
      </w:pPr>
      <w:r w:rsidRPr="001A1A61">
        <w:rPr>
          <w:rFonts w:ascii="Verdana" w:eastAsia="Times New Roman" w:hAnsi="Verdana" w:cs="Times New Roman"/>
          <w:sz w:val="18"/>
          <w:szCs w:val="18"/>
        </w:rPr>
        <w:t>At the end of April, the first month of operations, the following selected data were taken from the financial statements of Shelby Crawford, an attorney:</w:t>
      </w:r>
    </w:p>
    <w:tbl>
      <w:tblPr>
        <w:tblW w:w="0" w:type="auto"/>
        <w:tblCellMar>
          <w:top w:w="15" w:type="dxa"/>
          <w:left w:w="15" w:type="dxa"/>
          <w:bottom w:w="15" w:type="dxa"/>
          <w:right w:w="15" w:type="dxa"/>
        </w:tblCellMar>
        <w:tblLook w:val="04A0"/>
      </w:tblPr>
      <w:tblGrid>
        <w:gridCol w:w="3629"/>
        <w:gridCol w:w="1167"/>
      </w:tblGrid>
      <w:tr w:rsidR="001A1A61" w:rsidRPr="001A1A61" w:rsidTr="001A1A61">
        <w:trPr>
          <w:tblHeader/>
        </w:trPr>
        <w:tc>
          <w:tcPr>
            <w:tcW w:w="0" w:type="auto"/>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Net income for April</w:t>
            </w:r>
          </w:p>
        </w:tc>
        <w:tc>
          <w:tcPr>
            <w:tcW w:w="0" w:type="auto"/>
            <w:noWrap/>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$100,650</w:t>
            </w:r>
          </w:p>
        </w:tc>
      </w:tr>
      <w:tr w:rsidR="001A1A61" w:rsidRPr="001A1A61" w:rsidTr="001A1A61">
        <w:tc>
          <w:tcPr>
            <w:tcW w:w="0" w:type="auto"/>
            <w:shd w:val="clear" w:color="auto" w:fill="EFEFF0"/>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Total assets at April 30</w:t>
            </w:r>
          </w:p>
        </w:tc>
        <w:tc>
          <w:tcPr>
            <w:tcW w:w="0" w:type="auto"/>
            <w:shd w:val="clear" w:color="auto" w:fill="EFEFF0"/>
            <w:noWrap/>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732,600</w:t>
            </w:r>
          </w:p>
        </w:tc>
      </w:tr>
      <w:tr w:rsidR="001A1A61" w:rsidRPr="001A1A61" w:rsidTr="001A1A61">
        <w:tc>
          <w:tcPr>
            <w:tcW w:w="0" w:type="auto"/>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Total liabilities at April 30</w:t>
            </w:r>
          </w:p>
        </w:tc>
        <w:tc>
          <w:tcPr>
            <w:tcW w:w="0" w:type="auto"/>
            <w:noWrap/>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316,650</w:t>
            </w:r>
          </w:p>
        </w:tc>
      </w:tr>
      <w:tr w:rsidR="001A1A61" w:rsidRPr="001A1A61" w:rsidTr="001A1A61">
        <w:tc>
          <w:tcPr>
            <w:tcW w:w="0" w:type="auto"/>
            <w:shd w:val="clear" w:color="auto" w:fill="EFEFF0"/>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Total stockholders’ equity at April 30</w:t>
            </w:r>
          </w:p>
        </w:tc>
        <w:tc>
          <w:tcPr>
            <w:tcW w:w="0" w:type="auto"/>
            <w:shd w:val="clear" w:color="auto" w:fill="EFEFF0"/>
            <w:noWrap/>
            <w:tcMar>
              <w:top w:w="15" w:type="dxa"/>
              <w:left w:w="150" w:type="dxa"/>
              <w:bottom w:w="15" w:type="dxa"/>
              <w:right w:w="150"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415,950</w:t>
            </w:r>
          </w:p>
        </w:tc>
      </w:tr>
    </w:tbl>
    <w:p w:rsidR="001A1A61" w:rsidRPr="001A1A61" w:rsidRDefault="001A1A61" w:rsidP="001A1A61">
      <w:pPr>
        <w:spacing w:line="240" w:lineRule="auto"/>
        <w:rPr>
          <w:rFonts w:ascii="Verdana" w:eastAsia="Times New Roman" w:hAnsi="Verdana" w:cs="Times New Roman"/>
          <w:sz w:val="18"/>
          <w:szCs w:val="18"/>
        </w:rPr>
      </w:pPr>
      <w:r w:rsidRPr="001A1A61">
        <w:rPr>
          <w:rFonts w:ascii="Verdana" w:eastAsia="Times New Roman" w:hAnsi="Verdana" w:cs="Times New Roman"/>
          <w:sz w:val="18"/>
          <w:szCs w:val="18"/>
        </w:rPr>
        <w:t>In preparing the financial statements, adjustments for the following data were overlooked:</w:t>
      </w:r>
    </w:p>
    <w:tbl>
      <w:tblPr>
        <w:tblW w:w="0" w:type="auto"/>
        <w:tblCellSpacing w:w="15" w:type="dxa"/>
        <w:tblCellMar>
          <w:top w:w="15" w:type="dxa"/>
          <w:left w:w="15" w:type="dxa"/>
          <w:bottom w:w="15" w:type="dxa"/>
          <w:right w:w="15" w:type="dxa"/>
        </w:tblCellMar>
        <w:tblLook w:val="04A0"/>
      </w:tblPr>
      <w:tblGrid>
        <w:gridCol w:w="141"/>
        <w:gridCol w:w="4315"/>
      </w:tblGrid>
      <w:tr w:rsidR="001A1A61" w:rsidRPr="001A1A61" w:rsidTr="001A1A61">
        <w:trPr>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a. Supplies used during April, $3,050.</w:t>
            </w:r>
          </w:p>
        </w:tc>
      </w:tr>
      <w:tr w:rsidR="001A1A61" w:rsidRPr="001A1A61" w:rsidTr="001A1A61">
        <w:trPr>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b. Unbilled fees earned at April 30, $24,300.</w:t>
            </w:r>
          </w:p>
        </w:tc>
      </w:tr>
      <w:tr w:rsidR="001A1A61" w:rsidRPr="001A1A61" w:rsidTr="001A1A61">
        <w:trPr>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c. Depreciation of equipment for April, $2,200.</w:t>
            </w:r>
          </w:p>
        </w:tc>
      </w:tr>
      <w:tr w:rsidR="001A1A61" w:rsidRPr="001A1A61" w:rsidTr="001A1A61">
        <w:trPr>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szCs w:val="18"/>
              </w:rPr>
              <w:t>d. Accrued wages at April 30, $1,700.</w:t>
            </w:r>
          </w:p>
        </w:tc>
      </w:tr>
    </w:tbl>
    <w:p w:rsidR="001A1A61" w:rsidRPr="001A1A61" w:rsidRDefault="001A1A61" w:rsidP="001A1A61">
      <w:pPr>
        <w:spacing w:after="0" w:line="240" w:lineRule="auto"/>
        <w:rPr>
          <w:rFonts w:ascii="Verdana" w:eastAsia="Times New Roman" w:hAnsi="Verdana" w:cs="Times New Roman"/>
          <w:b/>
          <w:bCs/>
          <w:sz w:val="18"/>
          <w:szCs w:val="18"/>
        </w:rPr>
      </w:pPr>
      <w:r w:rsidRPr="001A1A61">
        <w:rPr>
          <w:rFonts w:ascii="Verdana" w:eastAsia="Times New Roman" w:hAnsi="Verdana" w:cs="Times New Roman"/>
          <w:b/>
          <w:bCs/>
          <w:sz w:val="18"/>
          <w:szCs w:val="18"/>
        </w:rPr>
        <w:t>Required:</w:t>
      </w:r>
    </w:p>
    <w:tbl>
      <w:tblPr>
        <w:tblW w:w="0" w:type="auto"/>
        <w:tblCellSpacing w:w="15" w:type="dxa"/>
        <w:tblCellMar>
          <w:top w:w="15" w:type="dxa"/>
          <w:left w:w="15" w:type="dxa"/>
          <w:bottom w:w="15" w:type="dxa"/>
          <w:right w:w="15" w:type="dxa"/>
        </w:tblCellMar>
        <w:tblLook w:val="04A0"/>
      </w:tblPr>
      <w:tblGrid>
        <w:gridCol w:w="45"/>
        <w:gridCol w:w="300"/>
        <w:gridCol w:w="9060"/>
        <w:gridCol w:w="45"/>
      </w:tblGrid>
      <w:tr w:rsidR="001A1A61" w:rsidRPr="001A1A61" w:rsidTr="001A1A61">
        <w:trPr>
          <w:gridBefore w:val="1"/>
          <w:gridAfter w:val="1"/>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rPr>
              <w:t>1.</w:t>
            </w: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i/>
                <w:iCs/>
                <w:sz w:val="18"/>
              </w:rPr>
              <w:t>Journalize the entries on April 30 to record the omitted adjustments. Refer to the Chart of Accounts for exact wording of account titles.</w:t>
            </w:r>
          </w:p>
        </w:tc>
      </w:tr>
      <w:tr w:rsidR="001A1A61" w:rsidRPr="001A1A61" w:rsidTr="001A1A61">
        <w:trPr>
          <w:gridBefore w:val="1"/>
          <w:gridAfter w:val="1"/>
          <w:tblCellSpacing w:w="15" w:type="dxa"/>
        </w:trPr>
        <w:tc>
          <w:tcPr>
            <w:tcW w:w="0" w:type="auto"/>
            <w:tcMar>
              <w:top w:w="15" w:type="dxa"/>
              <w:left w:w="15" w:type="dxa"/>
              <w:bottom w:w="15" w:type="dxa"/>
              <w:right w:w="75" w:type="dxa"/>
            </w:tcMar>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sz w:val="18"/>
              </w:rPr>
              <w:t>2.</w:t>
            </w:r>
          </w:p>
        </w:tc>
        <w:tc>
          <w:tcPr>
            <w:tcW w:w="0" w:type="auto"/>
            <w:hideMark/>
          </w:tcPr>
          <w:p w:rsidR="001A1A61" w:rsidRPr="001A1A61" w:rsidRDefault="001A1A61" w:rsidP="001A1A61">
            <w:pPr>
              <w:spacing w:after="0" w:line="360" w:lineRule="atLeast"/>
              <w:rPr>
                <w:rFonts w:ascii="Verdana" w:eastAsia="Times New Roman" w:hAnsi="Verdana" w:cs="Times New Roman"/>
                <w:sz w:val="18"/>
                <w:szCs w:val="18"/>
              </w:rPr>
            </w:pPr>
            <w:r w:rsidRPr="001A1A61">
              <w:rPr>
                <w:rFonts w:ascii="Verdana" w:eastAsia="Times New Roman" w:hAnsi="Verdana" w:cs="Times New Roman"/>
                <w:i/>
                <w:iCs/>
                <w:sz w:val="18"/>
              </w:rPr>
              <w:t>Determine the correct amount of net income for April and the total assets, liabilities, and stockholders’ equity at April 30. In addition to indicating the corrected amounts, indicate the effect of each omitted adjustment using the columnar table provided. Adjustment (a) is presented as an example. (</w:t>
            </w:r>
            <w:r w:rsidRPr="001A1A61">
              <w:rPr>
                <w:rFonts w:ascii="Verdana" w:eastAsia="Times New Roman" w:hAnsi="Verdana" w:cs="Times New Roman"/>
                <w:b/>
                <w:bCs/>
                <w:i/>
                <w:iCs/>
                <w:sz w:val="18"/>
              </w:rPr>
              <w:t>Note</w:t>
            </w:r>
            <w:r w:rsidRPr="001A1A61">
              <w:rPr>
                <w:rFonts w:ascii="Verdana" w:eastAsia="Times New Roman" w:hAnsi="Verdana" w:cs="Times New Roman"/>
                <w:i/>
                <w:iCs/>
                <w:sz w:val="18"/>
              </w:rPr>
              <w:t>: Use a minus sign (-) to indicate a decrease. If there is no amount or an amount is zero, enter "0".)</w:t>
            </w:r>
          </w:p>
        </w:tc>
      </w:tr>
      <w:tr w:rsidR="001A1A61" w:rsidRPr="001A1A61" w:rsidTr="001A1A61">
        <w:tblPrEx>
          <w:tblBorders>
            <w:left w:val="single" w:sz="6" w:space="0" w:color="D7D7D7"/>
            <w:right w:val="single" w:sz="6" w:space="0" w:color="D7D7D7"/>
          </w:tblBorders>
        </w:tblPrEx>
        <w:trPr>
          <w:tblCellSpacing w:w="15" w:type="dxa"/>
        </w:trPr>
        <w:tc>
          <w:tcPr>
            <w:tcW w:w="0" w:type="auto"/>
            <w:gridSpan w:val="4"/>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Corrected Amounts</w:t>
            </w:r>
          </w:p>
        </w:tc>
      </w:tr>
    </w:tbl>
    <w:p w:rsidR="001A1A61" w:rsidRPr="001A1A61" w:rsidRDefault="001A1A61" w:rsidP="001A1A61">
      <w:pPr>
        <w:spacing w:after="0" w:line="240" w:lineRule="auto"/>
        <w:rPr>
          <w:rFonts w:ascii="Verdana" w:eastAsia="Times New Roman" w:hAnsi="Verdana" w:cs="Times New Roman"/>
          <w:vanish/>
          <w:sz w:val="18"/>
          <w:szCs w:val="18"/>
        </w:rPr>
      </w:pPr>
    </w:p>
    <w:tbl>
      <w:tblPr>
        <w:tblW w:w="0" w:type="auto"/>
        <w:tblBorders>
          <w:top w:val="single" w:sz="6" w:space="0" w:color="D7D7D7"/>
          <w:left w:val="single" w:sz="6" w:space="0" w:color="D7D7D7"/>
          <w:bottom w:val="single" w:sz="6" w:space="0" w:color="D7D7D7"/>
          <w:right w:val="single" w:sz="6" w:space="0" w:color="D7D7D7"/>
        </w:tblBorders>
        <w:shd w:val="clear" w:color="auto" w:fill="F3F4F4"/>
        <w:tblCellMar>
          <w:top w:w="15" w:type="dxa"/>
          <w:left w:w="15" w:type="dxa"/>
          <w:bottom w:w="15" w:type="dxa"/>
          <w:right w:w="15" w:type="dxa"/>
        </w:tblCellMar>
        <w:tblLook w:val="04A0"/>
      </w:tblPr>
      <w:tblGrid>
        <w:gridCol w:w="206"/>
        <w:gridCol w:w="1788"/>
        <w:gridCol w:w="1443"/>
        <w:gridCol w:w="1619"/>
        <w:gridCol w:w="1825"/>
        <w:gridCol w:w="2509"/>
      </w:tblGrid>
      <w:tr w:rsidR="001A1A61" w:rsidRPr="001A1A61" w:rsidTr="001A1A61">
        <w:trPr>
          <w:gridAfter w:val="5"/>
          <w:tblHeader/>
        </w:trPr>
        <w:tc>
          <w:tcPr>
            <w:tcW w:w="0" w:type="auto"/>
            <w:shd w:val="clear" w:color="auto" w:fill="F3F4F4"/>
            <w:vAlign w:val="center"/>
            <w:hideMark/>
          </w:tcPr>
          <w:p w:rsidR="001A1A61" w:rsidRPr="001A1A61" w:rsidRDefault="001A1A61" w:rsidP="001A1A61">
            <w:pPr>
              <w:spacing w:after="0" w:line="360" w:lineRule="atLeast"/>
              <w:rPr>
                <w:rFonts w:ascii="Verdana" w:eastAsia="Times New Roman" w:hAnsi="Verdana" w:cs="Times New Roman"/>
                <w:color w:val="000000"/>
                <w:sz w:val="18"/>
                <w:szCs w:val="18"/>
              </w:rPr>
            </w:pP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1</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b/>
                <w:bCs/>
                <w:color w:val="000000"/>
                <w:sz w:val="21"/>
                <w:szCs w:val="21"/>
              </w:rPr>
            </w:pPr>
            <w:r w:rsidRPr="001A1A61">
              <w:rPr>
                <w:rFonts w:ascii="Verdana" w:eastAsia="Times New Roman" w:hAnsi="Verdana" w:cs="Times New Roman"/>
                <w:b/>
                <w:bCs/>
                <w:color w:val="000000"/>
                <w:sz w:val="21"/>
                <w:szCs w:val="21"/>
              </w:rPr>
              <w:t>Net Income</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b/>
                <w:bCs/>
                <w:color w:val="000000"/>
                <w:sz w:val="21"/>
                <w:szCs w:val="21"/>
              </w:rPr>
            </w:pPr>
            <w:r w:rsidRPr="001A1A61">
              <w:rPr>
                <w:rFonts w:ascii="Verdana" w:eastAsia="Times New Roman" w:hAnsi="Verdana" w:cs="Times New Roman"/>
                <w:b/>
                <w:bCs/>
                <w:color w:val="000000"/>
                <w:sz w:val="21"/>
                <w:szCs w:val="21"/>
              </w:rPr>
              <w:t>Total Assets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b/>
                <w:bCs/>
                <w:color w:val="000000"/>
                <w:sz w:val="21"/>
                <w:szCs w:val="21"/>
              </w:rPr>
            </w:pPr>
            <w:r w:rsidRPr="001A1A61">
              <w:rPr>
                <w:rFonts w:ascii="Verdana" w:eastAsia="Times New Roman" w:hAnsi="Verdana" w:cs="Times New Roman"/>
                <w:b/>
                <w:bCs/>
                <w:color w:val="000000"/>
                <w:sz w:val="21"/>
                <w:szCs w:val="21"/>
              </w:rPr>
              <w:t>Total Liabilities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b/>
                <w:bCs/>
                <w:color w:val="000000"/>
                <w:sz w:val="21"/>
                <w:szCs w:val="21"/>
              </w:rPr>
            </w:pPr>
            <w:r w:rsidRPr="001A1A61">
              <w:rPr>
                <w:rFonts w:ascii="Verdana" w:eastAsia="Times New Roman" w:hAnsi="Verdana" w:cs="Times New Roman"/>
                <w:b/>
                <w:bCs/>
                <w:color w:val="000000"/>
                <w:sz w:val="21"/>
                <w:szCs w:val="21"/>
              </w:rPr>
              <w:t>Total Stockholders’ Equity</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2</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Reported amounts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$100,650.00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$732,600.00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$316,650.00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$415,950.00</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3</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Corrections:</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4</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Adjustment (a)</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(3,050.00)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(3,050.00)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0.00</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right"/>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(3,050.00)</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5</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Adjustment (b)</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6</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Adjustment (c)</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r>
      <w:tr w:rsidR="001A1A61" w:rsidRPr="001A1A61" w:rsidTr="001A1A61">
        <w:trPr>
          <w:trHeight w:val="420"/>
        </w:trPr>
        <w:tc>
          <w:tcPr>
            <w:tcW w:w="0" w:type="auto"/>
            <w:tcBorders>
              <w:top w:val="single" w:sz="6" w:space="0" w:color="D7D7D7"/>
              <w:left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7</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Adjustment (d)</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r>
      <w:tr w:rsidR="001A1A61" w:rsidRPr="001A1A61" w:rsidTr="001A1A61">
        <w:trPr>
          <w:trHeight w:val="420"/>
        </w:trPr>
        <w:tc>
          <w:tcPr>
            <w:tcW w:w="0" w:type="auto"/>
            <w:tcBorders>
              <w:top w:val="single" w:sz="6" w:space="0" w:color="D7D7D7"/>
              <w:left w:val="single" w:sz="6" w:space="0" w:color="D7D7D7"/>
              <w:bottom w:val="single" w:sz="6" w:space="0" w:color="D7D7D7"/>
              <w:right w:val="doub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18"/>
                <w:szCs w:val="18"/>
              </w:rPr>
            </w:pPr>
            <w:r w:rsidRPr="001A1A61">
              <w:rPr>
                <w:rFonts w:ascii="Verdana" w:eastAsia="Times New Roman" w:hAnsi="Verdana" w:cs="Times New Roman"/>
                <w:color w:val="000000"/>
                <w:sz w:val="18"/>
                <w:szCs w:val="18"/>
              </w:rPr>
              <w:t>8</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Corrected amounts</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c>
          <w:tcPr>
            <w:tcW w:w="0" w:type="auto"/>
            <w:tcBorders>
              <w:top w:val="single" w:sz="6" w:space="0" w:color="D7D7D7"/>
              <w:bottom w:val="single" w:sz="6" w:space="0" w:color="D7D7D7"/>
              <w:right w:val="single" w:sz="6" w:space="0" w:color="D7D7D7"/>
            </w:tcBorders>
            <w:shd w:val="clear" w:color="auto" w:fill="FCFCFC"/>
            <w:tcMar>
              <w:top w:w="0" w:type="dxa"/>
              <w:left w:w="0" w:type="dxa"/>
              <w:bottom w:w="0" w:type="dxa"/>
              <w:right w:w="0" w:type="dxa"/>
            </w:tcMar>
            <w:vAlign w:val="center"/>
            <w:hideMark/>
          </w:tcPr>
          <w:p w:rsidR="001A1A61" w:rsidRPr="001A1A61" w:rsidRDefault="001A1A61" w:rsidP="001A1A61">
            <w:pPr>
              <w:spacing w:after="0" w:line="360" w:lineRule="atLeast"/>
              <w:ind w:left="30" w:right="30"/>
              <w:jc w:val="center"/>
              <w:rPr>
                <w:rFonts w:ascii="Verdana" w:eastAsia="Times New Roman" w:hAnsi="Verdana" w:cs="Times New Roman"/>
                <w:color w:val="000000"/>
                <w:sz w:val="21"/>
                <w:szCs w:val="21"/>
              </w:rPr>
            </w:pPr>
            <w:r w:rsidRPr="001A1A61">
              <w:rPr>
                <w:rFonts w:ascii="Verdana" w:eastAsia="Times New Roman" w:hAnsi="Verdana" w:cs="Times New Roman"/>
                <w:color w:val="000000"/>
                <w:sz w:val="21"/>
                <w:szCs w:val="21"/>
              </w:rPr>
              <w:t> </w:t>
            </w:r>
          </w:p>
        </w:tc>
      </w:tr>
    </w:tbl>
    <w:p w:rsidR="00E327A0" w:rsidRDefault="00E327A0"/>
    <w:sectPr w:rsidR="00E327A0" w:rsidSect="00E32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A61"/>
    <w:rsid w:val="001A1A61"/>
    <w:rsid w:val="00E32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4-listlabel">
    <w:name w:val="q4-listlabel"/>
    <w:basedOn w:val="DefaultParagraphFont"/>
    <w:rsid w:val="001A1A61"/>
  </w:style>
  <w:style w:type="character" w:customStyle="1" w:styleId="q4-text">
    <w:name w:val="q4-text"/>
    <w:basedOn w:val="DefaultParagraphFont"/>
    <w:rsid w:val="001A1A61"/>
  </w:style>
</w:styles>
</file>

<file path=word/webSettings.xml><?xml version="1.0" encoding="utf-8"?>
<w:webSettings xmlns:r="http://schemas.openxmlformats.org/officeDocument/2006/relationships" xmlns:w="http://schemas.openxmlformats.org/wordprocessingml/2006/main">
  <w:divs>
    <w:div w:id="103620135">
      <w:bodyDiv w:val="1"/>
      <w:marLeft w:val="0"/>
      <w:marRight w:val="0"/>
      <w:marTop w:val="0"/>
      <w:marBottom w:val="0"/>
      <w:divBdr>
        <w:top w:val="none" w:sz="0" w:space="0" w:color="auto"/>
        <w:left w:val="none" w:sz="0" w:space="0" w:color="auto"/>
        <w:bottom w:val="none" w:sz="0" w:space="0" w:color="auto"/>
        <w:right w:val="none" w:sz="0" w:space="0" w:color="auto"/>
      </w:divBdr>
      <w:divsChild>
        <w:div w:id="51124005">
          <w:marLeft w:val="0"/>
          <w:marRight w:val="0"/>
          <w:marTop w:val="240"/>
          <w:marBottom w:val="240"/>
          <w:divBdr>
            <w:top w:val="none" w:sz="0" w:space="0" w:color="auto"/>
            <w:left w:val="none" w:sz="0" w:space="0" w:color="auto"/>
            <w:bottom w:val="none" w:sz="0" w:space="0" w:color="auto"/>
            <w:right w:val="none" w:sz="0" w:space="0" w:color="auto"/>
          </w:divBdr>
        </w:div>
        <w:div w:id="1877692820">
          <w:marLeft w:val="480"/>
          <w:marRight w:val="480"/>
          <w:marTop w:val="0"/>
          <w:marBottom w:val="0"/>
          <w:divBdr>
            <w:top w:val="none" w:sz="0" w:space="0" w:color="auto"/>
            <w:left w:val="none" w:sz="0" w:space="0" w:color="auto"/>
            <w:bottom w:val="none" w:sz="0" w:space="0" w:color="auto"/>
            <w:right w:val="none" w:sz="0" w:space="0" w:color="auto"/>
          </w:divBdr>
        </w:div>
        <w:div w:id="1124235284">
          <w:marLeft w:val="0"/>
          <w:marRight w:val="0"/>
          <w:marTop w:val="240"/>
          <w:marBottom w:val="240"/>
          <w:divBdr>
            <w:top w:val="none" w:sz="0" w:space="0" w:color="auto"/>
            <w:left w:val="none" w:sz="0" w:space="0" w:color="auto"/>
            <w:bottom w:val="none" w:sz="0" w:space="0" w:color="auto"/>
            <w:right w:val="none" w:sz="0" w:space="0" w:color="auto"/>
          </w:divBdr>
        </w:div>
        <w:div w:id="1068500165">
          <w:marLeft w:val="480"/>
          <w:marRight w:val="480"/>
          <w:marTop w:val="0"/>
          <w:marBottom w:val="0"/>
          <w:divBdr>
            <w:top w:val="none" w:sz="0" w:space="0" w:color="auto"/>
            <w:left w:val="none" w:sz="0" w:space="0" w:color="auto"/>
            <w:bottom w:val="none" w:sz="0" w:space="0" w:color="auto"/>
            <w:right w:val="none" w:sz="0" w:space="0" w:color="auto"/>
          </w:divBdr>
        </w:div>
        <w:div w:id="837696079">
          <w:marLeft w:val="480"/>
          <w:marRight w:val="480"/>
          <w:marTop w:val="0"/>
          <w:marBottom w:val="0"/>
          <w:divBdr>
            <w:top w:val="none" w:sz="0" w:space="0" w:color="auto"/>
            <w:left w:val="none" w:sz="0" w:space="0" w:color="auto"/>
            <w:bottom w:val="none" w:sz="0" w:space="0" w:color="auto"/>
            <w:right w:val="none" w:sz="0" w:space="0" w:color="auto"/>
          </w:divBdr>
          <w:divsChild>
            <w:div w:id="47539732">
              <w:marLeft w:val="0"/>
              <w:marRight w:val="0"/>
              <w:marTop w:val="0"/>
              <w:marBottom w:val="0"/>
              <w:divBdr>
                <w:top w:val="none" w:sz="0" w:space="0" w:color="auto"/>
                <w:left w:val="none" w:sz="0" w:space="0" w:color="auto"/>
                <w:bottom w:val="none" w:sz="0" w:space="0" w:color="auto"/>
                <w:right w:val="none" w:sz="0" w:space="0" w:color="auto"/>
              </w:divBdr>
            </w:div>
          </w:divsChild>
        </w:div>
        <w:div w:id="2121995313">
          <w:marLeft w:val="0"/>
          <w:marRight w:val="0"/>
          <w:marTop w:val="0"/>
          <w:marBottom w:val="0"/>
          <w:divBdr>
            <w:top w:val="none" w:sz="0" w:space="0" w:color="auto"/>
            <w:left w:val="none" w:sz="0" w:space="0" w:color="auto"/>
            <w:bottom w:val="none" w:sz="0" w:space="0" w:color="auto"/>
            <w:right w:val="none" w:sz="0" w:space="0" w:color="auto"/>
          </w:divBdr>
        </w:div>
        <w:div w:id="534540547">
          <w:marLeft w:val="0"/>
          <w:marRight w:val="0"/>
          <w:marTop w:val="0"/>
          <w:marBottom w:val="0"/>
          <w:divBdr>
            <w:top w:val="none" w:sz="0" w:space="0" w:color="auto"/>
            <w:left w:val="none" w:sz="0" w:space="0" w:color="auto"/>
            <w:bottom w:val="none" w:sz="0" w:space="0" w:color="auto"/>
            <w:right w:val="none" w:sz="0" w:space="0" w:color="auto"/>
          </w:divBdr>
        </w:div>
        <w:div w:id="844515604">
          <w:marLeft w:val="0"/>
          <w:marRight w:val="0"/>
          <w:marTop w:val="0"/>
          <w:marBottom w:val="0"/>
          <w:divBdr>
            <w:top w:val="none" w:sz="0" w:space="0" w:color="auto"/>
            <w:left w:val="none" w:sz="0" w:space="0" w:color="auto"/>
            <w:bottom w:val="none" w:sz="0" w:space="0" w:color="auto"/>
            <w:right w:val="none" w:sz="0" w:space="0" w:color="auto"/>
          </w:divBdr>
        </w:div>
        <w:div w:id="479003509">
          <w:marLeft w:val="0"/>
          <w:marRight w:val="0"/>
          <w:marTop w:val="0"/>
          <w:marBottom w:val="0"/>
          <w:divBdr>
            <w:top w:val="none" w:sz="0" w:space="0" w:color="auto"/>
            <w:left w:val="none" w:sz="0" w:space="0" w:color="auto"/>
            <w:bottom w:val="none" w:sz="0" w:space="0" w:color="auto"/>
            <w:right w:val="none" w:sz="0" w:space="0" w:color="auto"/>
          </w:divBdr>
        </w:div>
        <w:div w:id="512303770">
          <w:marLeft w:val="0"/>
          <w:marRight w:val="0"/>
          <w:marTop w:val="0"/>
          <w:marBottom w:val="0"/>
          <w:divBdr>
            <w:top w:val="none" w:sz="0" w:space="0" w:color="auto"/>
            <w:left w:val="none" w:sz="0" w:space="0" w:color="auto"/>
            <w:bottom w:val="none" w:sz="0" w:space="0" w:color="auto"/>
            <w:right w:val="none" w:sz="0" w:space="0" w:color="auto"/>
          </w:divBdr>
        </w:div>
        <w:div w:id="2068217243">
          <w:marLeft w:val="0"/>
          <w:marRight w:val="0"/>
          <w:marTop w:val="0"/>
          <w:marBottom w:val="0"/>
          <w:divBdr>
            <w:top w:val="none" w:sz="0" w:space="0" w:color="auto"/>
            <w:left w:val="none" w:sz="0" w:space="0" w:color="auto"/>
            <w:bottom w:val="none" w:sz="0" w:space="0" w:color="auto"/>
            <w:right w:val="none" w:sz="0" w:space="0" w:color="auto"/>
          </w:divBdr>
        </w:div>
        <w:div w:id="1673140620">
          <w:marLeft w:val="0"/>
          <w:marRight w:val="0"/>
          <w:marTop w:val="0"/>
          <w:marBottom w:val="0"/>
          <w:divBdr>
            <w:top w:val="none" w:sz="0" w:space="0" w:color="auto"/>
            <w:left w:val="none" w:sz="0" w:space="0" w:color="auto"/>
            <w:bottom w:val="none" w:sz="0" w:space="0" w:color="auto"/>
            <w:right w:val="none" w:sz="0" w:space="0" w:color="auto"/>
          </w:divBdr>
        </w:div>
        <w:div w:id="684941496">
          <w:marLeft w:val="0"/>
          <w:marRight w:val="0"/>
          <w:marTop w:val="0"/>
          <w:marBottom w:val="0"/>
          <w:divBdr>
            <w:top w:val="none" w:sz="0" w:space="0" w:color="auto"/>
            <w:left w:val="none" w:sz="0" w:space="0" w:color="auto"/>
            <w:bottom w:val="none" w:sz="0" w:space="0" w:color="auto"/>
            <w:right w:val="none" w:sz="0" w:space="0" w:color="auto"/>
          </w:divBdr>
        </w:div>
        <w:div w:id="248540333">
          <w:marLeft w:val="0"/>
          <w:marRight w:val="0"/>
          <w:marTop w:val="0"/>
          <w:marBottom w:val="0"/>
          <w:divBdr>
            <w:top w:val="none" w:sz="0" w:space="0" w:color="auto"/>
            <w:left w:val="none" w:sz="0" w:space="0" w:color="auto"/>
            <w:bottom w:val="none" w:sz="0" w:space="0" w:color="auto"/>
            <w:right w:val="none" w:sz="0" w:space="0" w:color="auto"/>
          </w:divBdr>
        </w:div>
        <w:div w:id="1239708460">
          <w:marLeft w:val="0"/>
          <w:marRight w:val="0"/>
          <w:marTop w:val="0"/>
          <w:marBottom w:val="0"/>
          <w:divBdr>
            <w:top w:val="none" w:sz="0" w:space="0" w:color="auto"/>
            <w:left w:val="none" w:sz="0" w:space="0" w:color="auto"/>
            <w:bottom w:val="none" w:sz="0" w:space="0" w:color="auto"/>
            <w:right w:val="none" w:sz="0" w:space="0" w:color="auto"/>
          </w:divBdr>
        </w:div>
        <w:div w:id="381825636">
          <w:marLeft w:val="0"/>
          <w:marRight w:val="0"/>
          <w:marTop w:val="0"/>
          <w:marBottom w:val="0"/>
          <w:divBdr>
            <w:top w:val="none" w:sz="0" w:space="0" w:color="auto"/>
            <w:left w:val="none" w:sz="0" w:space="0" w:color="auto"/>
            <w:bottom w:val="none" w:sz="0" w:space="0" w:color="auto"/>
            <w:right w:val="none" w:sz="0" w:space="0" w:color="auto"/>
          </w:divBdr>
        </w:div>
        <w:div w:id="1216620172">
          <w:marLeft w:val="0"/>
          <w:marRight w:val="0"/>
          <w:marTop w:val="0"/>
          <w:marBottom w:val="0"/>
          <w:divBdr>
            <w:top w:val="none" w:sz="0" w:space="0" w:color="auto"/>
            <w:left w:val="none" w:sz="0" w:space="0" w:color="auto"/>
            <w:bottom w:val="none" w:sz="0" w:space="0" w:color="auto"/>
            <w:right w:val="none" w:sz="0" w:space="0" w:color="auto"/>
          </w:divBdr>
        </w:div>
        <w:div w:id="1422141076">
          <w:marLeft w:val="0"/>
          <w:marRight w:val="0"/>
          <w:marTop w:val="0"/>
          <w:marBottom w:val="0"/>
          <w:divBdr>
            <w:top w:val="none" w:sz="0" w:space="0" w:color="auto"/>
            <w:left w:val="none" w:sz="0" w:space="0" w:color="auto"/>
            <w:bottom w:val="none" w:sz="0" w:space="0" w:color="auto"/>
            <w:right w:val="none" w:sz="0" w:space="0" w:color="auto"/>
          </w:divBdr>
        </w:div>
        <w:div w:id="291062083">
          <w:marLeft w:val="0"/>
          <w:marRight w:val="0"/>
          <w:marTop w:val="0"/>
          <w:marBottom w:val="0"/>
          <w:divBdr>
            <w:top w:val="none" w:sz="0" w:space="0" w:color="auto"/>
            <w:left w:val="none" w:sz="0" w:space="0" w:color="auto"/>
            <w:bottom w:val="none" w:sz="0" w:space="0" w:color="auto"/>
            <w:right w:val="none" w:sz="0" w:space="0" w:color="auto"/>
          </w:divBdr>
        </w:div>
        <w:div w:id="831993648">
          <w:marLeft w:val="0"/>
          <w:marRight w:val="0"/>
          <w:marTop w:val="0"/>
          <w:marBottom w:val="0"/>
          <w:divBdr>
            <w:top w:val="none" w:sz="0" w:space="0" w:color="auto"/>
            <w:left w:val="none" w:sz="0" w:space="0" w:color="auto"/>
            <w:bottom w:val="none" w:sz="0" w:space="0" w:color="auto"/>
            <w:right w:val="none" w:sz="0" w:space="0" w:color="auto"/>
          </w:divBdr>
        </w:div>
        <w:div w:id="114238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2016-07-14T03:08:00Z</dcterms:created>
  <dcterms:modified xsi:type="dcterms:W3CDTF">2016-07-14T03:08:00Z</dcterms:modified>
</cp:coreProperties>
</file>